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Disclosure of existing customers to whom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034190" w:rsidRPr="00576FA4" w:rsidRDefault="00034190" w:rsidP="00034190">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034190" w:rsidRPr="00576FA4" w:rsidRDefault="00034190" w:rsidP="00034190">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034190" w:rsidRPr="00576FA4" w:rsidRDefault="00034190" w:rsidP="00034190">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034190" w:rsidRPr="00576FA4" w:rsidRDefault="00034190" w:rsidP="00034190">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034190" w:rsidRPr="00576FA4" w:rsidRDefault="00034190" w:rsidP="00034190">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034190" w:rsidRPr="00576FA4" w:rsidRDefault="00034190" w:rsidP="00034190">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034190" w:rsidRPr="00576FA4" w:rsidRDefault="00034190" w:rsidP="00034190">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034190" w:rsidRPr="00576FA4" w:rsidRDefault="00034190" w:rsidP="00034190">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034190" w:rsidRPr="00576FA4" w:rsidRDefault="00034190" w:rsidP="00034190">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034190" w:rsidRPr="00576FA4" w:rsidRDefault="00034190" w:rsidP="00034190">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034190" w:rsidRPr="00576FA4" w:rsidRDefault="00034190" w:rsidP="00034190">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034190" w:rsidRPr="00576FA4" w:rsidRDefault="00034190" w:rsidP="00034190">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034190" w:rsidRPr="00576FA4" w:rsidRDefault="00034190" w:rsidP="00034190">
      <w:pPr>
        <w:spacing w:after="0"/>
        <w:ind w:left="1170"/>
        <w:rPr>
          <w:rFonts w:ascii="Arial" w:hAnsi="Arial" w:cs="Arial"/>
          <w:sz w:val="20"/>
          <w:szCs w:val="20"/>
        </w:rPr>
      </w:pPr>
    </w:p>
    <w:p w:rsidR="00034190" w:rsidRPr="00576FA4" w:rsidRDefault="00034190" w:rsidP="00034190">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034190" w:rsidRPr="00576FA4" w:rsidRDefault="00034190" w:rsidP="00034190">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034190" w:rsidRPr="00576FA4" w:rsidRDefault="00034190" w:rsidP="00034190">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034190" w:rsidRPr="00576FA4" w:rsidRDefault="00034190" w:rsidP="00034190">
      <w:pPr>
        <w:spacing w:after="0" w:line="251" w:lineRule="exact"/>
        <w:ind w:left="851"/>
        <w:jc w:val="both"/>
        <w:rPr>
          <w:rFonts w:ascii="Arial" w:eastAsia="Arial" w:hAnsi="Arial" w:cs="Arial"/>
          <w:sz w:val="20"/>
          <w:szCs w:val="20"/>
        </w:rPr>
      </w:pPr>
    </w:p>
    <w:p w:rsidR="00034190" w:rsidRPr="00576FA4" w:rsidRDefault="00034190" w:rsidP="00034190">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034190" w:rsidRPr="00576FA4" w:rsidRDefault="00034190" w:rsidP="00034190">
      <w:pPr>
        <w:spacing w:after="0" w:line="251" w:lineRule="exact"/>
        <w:ind w:left="1571" w:firstLine="589"/>
        <w:jc w:val="both"/>
        <w:rPr>
          <w:rFonts w:ascii="Arial" w:eastAsia="Arial" w:hAnsi="Arial" w:cs="Arial"/>
          <w:sz w:val="20"/>
          <w:szCs w:val="20"/>
        </w:rPr>
      </w:pPr>
    </w:p>
    <w:p w:rsidR="00034190" w:rsidRPr="00576FA4" w:rsidRDefault="00034190" w:rsidP="00034190">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034190" w:rsidRPr="00576FA4" w:rsidRDefault="00034190" w:rsidP="00034190">
      <w:pPr>
        <w:pStyle w:val="ListParagraph"/>
        <w:rPr>
          <w:rFonts w:ascii="Arial" w:hAnsi="Arial" w:cs="Arial"/>
          <w:sz w:val="20"/>
        </w:rPr>
      </w:pPr>
    </w:p>
    <w:p w:rsidR="00034190" w:rsidRPr="00576FA4" w:rsidRDefault="00034190" w:rsidP="00034190">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034190" w:rsidRPr="00576FA4" w:rsidRDefault="00034190" w:rsidP="00034190">
      <w:pPr>
        <w:spacing w:after="0" w:line="251" w:lineRule="exact"/>
        <w:ind w:left="1620" w:hanging="360"/>
        <w:jc w:val="both"/>
        <w:rPr>
          <w:rFonts w:ascii="Arial" w:eastAsia="Arial" w:hAnsi="Arial" w:cs="Arial"/>
          <w:sz w:val="20"/>
          <w:szCs w:val="20"/>
        </w:rPr>
      </w:pPr>
    </w:p>
    <w:p w:rsidR="00034190" w:rsidRPr="00576FA4" w:rsidRDefault="00034190" w:rsidP="00034190">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034190" w:rsidRPr="00576FA4" w:rsidRDefault="00034190" w:rsidP="00034190">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034190" w:rsidRPr="00576FA4" w:rsidRDefault="00034190" w:rsidP="00034190">
      <w:pPr>
        <w:pStyle w:val="ListParagraph"/>
        <w:ind w:left="1620" w:hanging="360"/>
        <w:rPr>
          <w:rFonts w:ascii="Arial" w:hAnsi="Arial" w:cs="Arial"/>
          <w:spacing w:val="-26"/>
          <w:sz w:val="20"/>
        </w:rPr>
      </w:pPr>
    </w:p>
    <w:p w:rsidR="00034190" w:rsidRPr="00576FA4" w:rsidRDefault="00034190" w:rsidP="00034190">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034190" w:rsidRPr="00576FA4" w:rsidRDefault="00034190" w:rsidP="00034190">
      <w:pPr>
        <w:pStyle w:val="ListParagraph"/>
        <w:ind w:left="1620"/>
        <w:rPr>
          <w:rFonts w:ascii="Arial" w:hAnsi="Arial" w:cs="Arial"/>
          <w:position w:val="1"/>
          <w:sz w:val="20"/>
        </w:rPr>
      </w:pPr>
    </w:p>
    <w:p w:rsidR="00034190" w:rsidRPr="00576FA4" w:rsidRDefault="00034190" w:rsidP="00034190">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034190" w:rsidRPr="004B5FEA" w:rsidRDefault="00034190" w:rsidP="00034190">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034190" w:rsidRDefault="00034190" w:rsidP="00034190">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034190" w:rsidRDefault="00034190" w:rsidP="00034190">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034190" w:rsidRPr="008D4099" w:rsidRDefault="00034190" w:rsidP="00034190">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034190" w:rsidRPr="00576FA4" w:rsidRDefault="00034190" w:rsidP="00034190">
      <w:pPr>
        <w:spacing w:after="0" w:line="240" w:lineRule="auto"/>
        <w:ind w:left="540"/>
        <w:jc w:val="both"/>
        <w:rPr>
          <w:rFonts w:ascii="Arial" w:hAnsi="Arial" w:cs="Arial"/>
          <w:sz w:val="20"/>
          <w:szCs w:val="20"/>
        </w:rPr>
      </w:pPr>
    </w:p>
    <w:p w:rsidR="00034190" w:rsidRPr="00ED3ABC" w:rsidRDefault="00034190" w:rsidP="00034190">
      <w:pPr>
        <w:spacing w:after="0" w:line="240" w:lineRule="auto"/>
        <w:ind w:left="540"/>
        <w:jc w:val="both"/>
        <w:rPr>
          <w:rFonts w:ascii="Arial" w:hAnsi="Arial" w:cs="Arial"/>
          <w:sz w:val="20"/>
          <w:szCs w:val="20"/>
        </w:rPr>
      </w:pPr>
    </w:p>
    <w:p w:rsidR="00034190" w:rsidRPr="00ED3ABC" w:rsidRDefault="00034190" w:rsidP="00034190">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r w:rsidRPr="00766B27">
        <w:rPr>
          <w:rFonts w:ascii="Arial" w:hAnsi="Arial" w:cs="Arial"/>
          <w:sz w:val="20"/>
          <w:szCs w:val="20"/>
        </w:rPr>
        <w:t>submission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r w:rsidRPr="00766B27">
        <w:rPr>
          <w:rFonts w:ascii="Arial" w:hAnsi="Arial" w:cs="Arial"/>
          <w:sz w:val="20"/>
          <w:szCs w:val="20"/>
        </w:rPr>
        <w:t>process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contract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Tenderer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36039E">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GENERAL &amp;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08619B">
        <w:rPr>
          <w:rFonts w:ascii="Arial" w:hAnsi="Arial" w:cs="Arial"/>
          <w:b/>
          <w:sz w:val="20"/>
          <w:szCs w:val="20"/>
        </w:rPr>
        <w:t>MUL</w:t>
      </w:r>
      <w:r w:rsidR="001F0064">
        <w:rPr>
          <w:rFonts w:ascii="Arial" w:hAnsi="Arial" w:cs="Arial"/>
          <w:b/>
          <w:sz w:val="20"/>
          <w:szCs w:val="20"/>
        </w:rPr>
        <w:t>/2021-22/CAP/PT/00</w:t>
      </w:r>
      <w:r w:rsidR="0008619B">
        <w:rPr>
          <w:rFonts w:ascii="Arial" w:hAnsi="Arial" w:cs="Arial"/>
          <w:b/>
          <w:sz w:val="20"/>
          <w:szCs w:val="20"/>
        </w:rPr>
        <w:t>58</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08619B">
        <w:rPr>
          <w:rFonts w:ascii="Arial" w:hAnsi="Arial" w:cs="Arial"/>
          <w:b/>
          <w:sz w:val="20"/>
          <w:szCs w:val="20"/>
        </w:rPr>
        <w:t>LED OT Light for Minor OT”, Quantity 04</w:t>
      </w:r>
      <w:r w:rsidR="0090322E" w:rsidRPr="00766B27">
        <w:rPr>
          <w:rFonts w:ascii="Arial" w:hAnsi="Arial" w:cs="Arial"/>
          <w:b/>
          <w:sz w:val="20"/>
          <w:szCs w:val="20"/>
        </w:rPr>
        <w:t xml:space="preserve"> no</w:t>
      </w:r>
      <w:r w:rsidR="0008619B">
        <w:rPr>
          <w:rFonts w:ascii="Arial" w:hAnsi="Arial" w:cs="Arial"/>
          <w:b/>
          <w:sz w:val="20"/>
          <w:szCs w:val="20"/>
        </w:rPr>
        <w:t>s</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746A8F">
        <w:rPr>
          <w:rFonts w:ascii="Arial" w:hAnsi="Arial" w:cs="Arial"/>
          <w:b/>
          <w:sz w:val="20"/>
          <w:szCs w:val="20"/>
        </w:rPr>
        <w:t>2</w:t>
      </w:r>
      <w:r w:rsidR="00FB3FED">
        <w:rPr>
          <w:rFonts w:ascii="Arial" w:hAnsi="Arial" w:cs="Arial"/>
          <w:b/>
          <w:sz w:val="20"/>
          <w:szCs w:val="20"/>
        </w:rPr>
        <w:t>8</w:t>
      </w:r>
      <w:r w:rsidR="00AC31A0">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FB3FED">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w:t>
      </w:r>
      <w:bookmarkStart w:id="0" w:name="_GoBack"/>
      <w:bookmarkEnd w:id="0"/>
      <w:r w:rsidRPr="00766B27">
        <w:rPr>
          <w:rFonts w:ascii="Arial" w:hAnsi="Arial" w:cs="Arial"/>
          <w:sz w:val="20"/>
          <w:szCs w:val="20"/>
        </w:rPr>
        <w:t xml:space="preserv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tenderers should ensure to quote the prices in the prescribed form. </w:t>
      </w:r>
      <w:r w:rsidRPr="00766B27">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36039E">
        <w:rPr>
          <w:rFonts w:ascii="Arial" w:hAnsi="Arial" w:cs="Arial"/>
          <w:b/>
          <w:noProof/>
          <w:sz w:val="20"/>
          <w:szCs w:val="20"/>
          <w:u w:val="single"/>
        </w:rPr>
        <w:t xml:space="preserve"> </w:t>
      </w:r>
      <w:r w:rsidR="009834D6">
        <w:rPr>
          <w:rFonts w:ascii="Arial" w:hAnsi="Arial" w:cs="Arial"/>
          <w:b/>
          <w:sz w:val="20"/>
          <w:szCs w:val="20"/>
          <w:u w:val="single"/>
        </w:rPr>
        <w:t>A</w:t>
      </w:r>
      <w:r w:rsidR="00097D50">
        <w:rPr>
          <w:rFonts w:ascii="Arial" w:hAnsi="Arial" w:cs="Arial"/>
          <w:b/>
          <w:sz w:val="20"/>
          <w:szCs w:val="20"/>
          <w:u w:val="single"/>
        </w:rPr>
        <w:t xml:space="preserve">MC </w:t>
      </w:r>
      <w:r w:rsidR="004F76C3">
        <w:rPr>
          <w:rFonts w:ascii="Arial" w:hAnsi="Arial" w:cs="Arial"/>
          <w:b/>
          <w:sz w:val="20"/>
          <w:szCs w:val="20"/>
          <w:u w:val="single"/>
        </w:rPr>
        <w:t>maximum 2</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36039E">
        <w:rPr>
          <w:rFonts w:ascii="Arial" w:hAnsi="Arial" w:cs="Arial"/>
          <w:b/>
          <w:noProof/>
          <w:sz w:val="20"/>
          <w:szCs w:val="20"/>
        </w:rPr>
        <w:t xml:space="preserve"> </w:t>
      </w:r>
      <w:r w:rsidR="009834D6" w:rsidRPr="0036039E">
        <w:rPr>
          <w:rFonts w:ascii="Arial" w:hAnsi="Arial" w:cs="Arial"/>
          <w:b/>
          <w:sz w:val="20"/>
          <w:szCs w:val="20"/>
        </w:rPr>
        <w:t>A</w:t>
      </w:r>
      <w:r w:rsidR="00097D50" w:rsidRPr="0036039E">
        <w:rPr>
          <w:rFonts w:ascii="Arial" w:hAnsi="Arial" w:cs="Arial"/>
          <w:b/>
          <w:sz w:val="20"/>
          <w:szCs w:val="20"/>
        </w:rPr>
        <w:t>M</w:t>
      </w:r>
      <w:r w:rsidR="00097D50">
        <w:rPr>
          <w:rFonts w:ascii="Arial" w:hAnsi="Arial" w:cs="Arial"/>
          <w:b/>
          <w:sz w:val="20"/>
          <w:szCs w:val="20"/>
        </w:rPr>
        <w:t xml:space="preserve">C </w:t>
      </w:r>
      <w:r w:rsidR="004F76C3">
        <w:rPr>
          <w:rFonts w:ascii="Arial" w:hAnsi="Arial" w:cs="Arial"/>
          <w:b/>
          <w:sz w:val="20"/>
          <w:szCs w:val="20"/>
        </w:rPr>
        <w:t>maximum 2</w:t>
      </w:r>
      <w:r w:rsidRPr="00766B27">
        <w:rPr>
          <w:rFonts w:ascii="Arial" w:hAnsi="Arial" w:cs="Arial"/>
          <w:b/>
          <w:sz w:val="20"/>
          <w:szCs w:val="20"/>
        </w:rPr>
        <w:t xml:space="preserve">% per annum for 8 years on Ex-works cost after </w:t>
      </w:r>
      <w:proofErr w:type="gramStart"/>
      <w:r w:rsidRPr="00766B27">
        <w:rPr>
          <w:rFonts w:ascii="Arial" w:hAnsi="Arial" w:cs="Arial"/>
          <w:b/>
          <w:sz w:val="20"/>
          <w:szCs w:val="20"/>
        </w:rPr>
        <w:t>warranty(</w:t>
      </w:r>
      <w:proofErr w:type="gramEnd"/>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36039E" w:rsidRPr="006B1E0D" w:rsidRDefault="0036039E" w:rsidP="0036039E">
      <w:pPr>
        <w:spacing w:after="0" w:line="240" w:lineRule="auto"/>
        <w:ind w:left="1080"/>
        <w:jc w:val="both"/>
        <w:outlineLvl w:val="0"/>
        <w:rPr>
          <w:rFonts w:ascii="Arial" w:eastAsia="Times New Roman" w:hAnsi="Arial" w:cs="Arial"/>
          <w:bCs/>
          <w:sz w:val="20"/>
          <w:szCs w:val="20"/>
        </w:rPr>
      </w:pPr>
      <w:r w:rsidRPr="006B1E0D">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6B1E0D">
        <w:rPr>
          <w:rFonts w:ascii="Arial" w:eastAsia="Times New Roman" w:hAnsi="Arial" w:cs="Arial"/>
          <w:bCs/>
          <w:sz w:val="20"/>
          <w:szCs w:val="20"/>
        </w:rPr>
        <w:lastRenderedPageBreak/>
        <w:t>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36039E" w:rsidRPr="006B1E0D" w:rsidRDefault="0036039E" w:rsidP="0036039E">
      <w:pPr>
        <w:spacing w:after="0" w:line="240" w:lineRule="auto"/>
        <w:ind w:left="1080"/>
        <w:jc w:val="both"/>
        <w:outlineLvl w:val="0"/>
        <w:rPr>
          <w:rFonts w:ascii="Arial" w:eastAsia="Times New Roman" w:hAnsi="Arial" w:cs="Arial"/>
          <w:bCs/>
          <w:sz w:val="20"/>
          <w:szCs w:val="20"/>
        </w:rPr>
      </w:pPr>
      <w:r w:rsidRPr="006B1E0D">
        <w:rPr>
          <w:rFonts w:ascii="Arial" w:eastAsia="Times New Roman" w:hAnsi="Arial" w:cs="Arial"/>
          <w:bCs/>
          <w:sz w:val="20"/>
          <w:szCs w:val="20"/>
        </w:rPr>
        <w:t xml:space="preserve">Response </w:t>
      </w:r>
      <w:r w:rsidR="00DE1525">
        <w:rPr>
          <w:rFonts w:ascii="Arial" w:eastAsia="Times New Roman" w:hAnsi="Arial" w:cs="Arial"/>
          <w:bCs/>
          <w:sz w:val="20"/>
          <w:szCs w:val="20"/>
        </w:rPr>
        <w:t>Time: Should not be more than 12</w:t>
      </w:r>
      <w:r w:rsidRPr="006B1E0D">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r w:rsidRPr="00766B27">
        <w:rPr>
          <w:rFonts w:cs="Arial"/>
          <w:sz w:val="20"/>
        </w:rPr>
        <w:t>purchaser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Extension: Tender may be extended for a period of maximum 5 years depending upon performance of the tenderers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 xml:space="preserve">purchaser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exemption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t>desirable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tenderer.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.Please send your queries to</w:t>
      </w:r>
      <w:r>
        <w:rPr>
          <w:rFonts w:ascii="Arial" w:eastAsia="Times New Roman" w:hAnsi="Arial" w:cs="Arial"/>
          <w:b/>
          <w:sz w:val="20"/>
          <w:szCs w:val="20"/>
        </w:rPr>
        <w:t xml:space="preserve">the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D37EE1"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Tenderers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The tenderer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r w:rsidRPr="00766B27">
        <w:rPr>
          <w:rFonts w:cs="Arial"/>
          <w:sz w:val="20"/>
        </w:rPr>
        <w:t>N.B.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A77BD" w:rsidRDefault="00CA77BD" w:rsidP="00CA77BD">
      <w:pPr>
        <w:outlineLvl w:val="0"/>
        <w:rPr>
          <w:rFonts w:ascii="Arial" w:hAnsi="Arial" w:cs="Arial"/>
          <w:b/>
          <w:bCs/>
          <w:sz w:val="20"/>
          <w:szCs w:val="20"/>
          <w:u w:val="single"/>
        </w:rPr>
      </w:pPr>
    </w:p>
    <w:p w:rsidR="00280056" w:rsidRDefault="00280056" w:rsidP="00CA77BD">
      <w:pPr>
        <w:outlineLvl w:val="0"/>
        <w:rPr>
          <w:rFonts w:ascii="Arial" w:hAnsi="Arial" w:cs="Arial"/>
          <w:b/>
          <w:bCs/>
          <w:sz w:val="20"/>
          <w:szCs w:val="20"/>
          <w:u w:val="single"/>
        </w:rPr>
      </w:pPr>
    </w:p>
    <w:p w:rsidR="00457F1E" w:rsidRPr="00CA77BD" w:rsidRDefault="00457F1E"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A67A3A" w:rsidRPr="00A67A3A">
        <w:rPr>
          <w:rFonts w:ascii="Arial" w:hAnsi="Arial" w:cs="Arial"/>
          <w:b/>
          <w:sz w:val="20"/>
          <w:szCs w:val="20"/>
        </w:rPr>
        <w:t>Annual</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A67A3A" w:rsidRPr="00A67A3A">
        <w:rPr>
          <w:rFonts w:ascii="Arial" w:hAnsi="Arial" w:cs="Arial"/>
          <w:b/>
          <w:sz w:val="20"/>
          <w:szCs w:val="20"/>
        </w:rPr>
        <w:t>Annual</w:t>
      </w:r>
      <w:r w:rsidR="005A4DBD">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5A4DBD">
      <w:pPr>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A67A3A">
        <w:rPr>
          <w:rFonts w:ascii="Arial" w:eastAsia="Times New Roman" w:hAnsi="Arial" w:cs="Arial"/>
          <w:b/>
          <w:sz w:val="20"/>
          <w:szCs w:val="20"/>
        </w:rPr>
        <w:t>LED OT Light for Minor OT</w:t>
      </w:r>
      <w:r w:rsidR="00457F1E">
        <w:rPr>
          <w:rFonts w:ascii="Arial" w:eastAsia="Times New Roman" w:hAnsi="Arial" w:cs="Arial"/>
          <w:b/>
          <w:sz w:val="20"/>
          <w:szCs w:val="20"/>
        </w:rPr>
        <w:t xml:space="preserve">, </w:t>
      </w:r>
      <w:r w:rsidR="00A67A3A">
        <w:rPr>
          <w:rFonts w:ascii="Arial" w:eastAsia="Times New Roman" w:hAnsi="Arial" w:cs="Arial"/>
          <w:b/>
          <w:sz w:val="20"/>
          <w:szCs w:val="20"/>
        </w:rPr>
        <w:t>Quantity 04</w:t>
      </w:r>
      <w:r w:rsidR="00457F1E">
        <w:rPr>
          <w:rFonts w:ascii="Arial" w:eastAsia="Times New Roman" w:hAnsi="Arial" w:cs="Arial"/>
          <w:b/>
          <w:sz w:val="20"/>
          <w:szCs w:val="20"/>
        </w:rPr>
        <w:t xml:space="preserve"> no</w:t>
      </w:r>
      <w:r w:rsidR="00A67A3A">
        <w:rPr>
          <w:rFonts w:ascii="Arial" w:eastAsia="Times New Roman" w:hAnsi="Arial" w:cs="Arial"/>
          <w:b/>
          <w:sz w:val="20"/>
          <w:szCs w:val="20"/>
        </w:rPr>
        <w:t>s</w:t>
      </w:r>
      <w:r w:rsidR="00457F1E">
        <w:rPr>
          <w:rFonts w:ascii="Arial" w:eastAsia="Times New Roman" w:hAnsi="Arial" w:cs="Arial"/>
          <w:b/>
          <w:sz w:val="20"/>
          <w:szCs w:val="20"/>
        </w:rPr>
        <w:t>.</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A67A3A">
        <w:rPr>
          <w:rFonts w:ascii="Arial" w:hAnsi="Arial" w:cs="Arial"/>
          <w:sz w:val="20"/>
          <w:szCs w:val="20"/>
        </w:rPr>
        <w:t>2 years warranty + A</w:t>
      </w:r>
      <w:r w:rsidR="000F3A23" w:rsidRPr="00766B27">
        <w:rPr>
          <w:rFonts w:ascii="Arial" w:hAnsi="Arial" w:cs="Arial"/>
          <w:sz w:val="20"/>
          <w:szCs w:val="20"/>
        </w:rPr>
        <w:t>MC</w:t>
      </w:r>
      <w:r w:rsidR="005A4DBD">
        <w:rPr>
          <w:rFonts w:ascii="Arial" w:hAnsi="Arial" w:cs="Arial"/>
          <w:sz w:val="20"/>
          <w:szCs w:val="20"/>
        </w:rPr>
        <w:t xml:space="preserve"> </w:t>
      </w:r>
      <w:r w:rsidR="00A67A3A">
        <w:rPr>
          <w:rFonts w:ascii="Arial" w:hAnsi="Arial" w:cs="Arial"/>
          <w:sz w:val="20"/>
          <w:szCs w:val="20"/>
        </w:rPr>
        <w:t>maximum 2</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A67A3A">
        <w:rPr>
          <w:rFonts w:ascii="Arial" w:hAnsi="Arial" w:cs="Arial"/>
          <w:sz w:val="20"/>
          <w:szCs w:val="20"/>
        </w:rPr>
        <w:t>A</w:t>
      </w:r>
      <w:r w:rsidR="00FA6BF8">
        <w:rPr>
          <w:rFonts w:ascii="Arial" w:hAnsi="Arial" w:cs="Arial"/>
          <w:sz w:val="20"/>
          <w:szCs w:val="20"/>
        </w:rPr>
        <w:t xml:space="preserve">MC </w:t>
      </w:r>
      <w:r w:rsidR="00A67A3A">
        <w:rPr>
          <w:rFonts w:ascii="Arial" w:hAnsi="Arial" w:cs="Arial"/>
          <w:sz w:val="20"/>
          <w:szCs w:val="20"/>
        </w:rPr>
        <w:t>maximum 2</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4F76C3">
        <w:rPr>
          <w:rFonts w:ascii="Arial" w:hAnsi="Arial" w:cs="Arial"/>
          <w:b/>
          <w:sz w:val="20"/>
          <w:szCs w:val="20"/>
        </w:rPr>
        <w:t>04</w:t>
      </w:r>
      <w:r w:rsidR="00F0009B">
        <w:rPr>
          <w:rFonts w:ascii="Arial" w:hAnsi="Arial" w:cs="Arial"/>
          <w:b/>
          <w:sz w:val="20"/>
          <w:szCs w:val="20"/>
        </w:rPr>
        <w:t xml:space="preserve"> no</w:t>
      </w:r>
      <w:r w:rsidR="004F76C3">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A67A3A">
        <w:rPr>
          <w:rFonts w:ascii="Arial" w:hAnsi="Arial" w:cs="Arial"/>
          <w:sz w:val="20"/>
          <w:szCs w:val="20"/>
        </w:rPr>
        <w:t>A</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807CBB">
        <w:rPr>
          <w:rFonts w:ascii="Arial" w:hAnsi="Arial" w:cs="Arial"/>
          <w:sz w:val="20"/>
          <w:szCs w:val="20"/>
        </w:rPr>
        <w:t>2</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(To be submitted on letterhead of tenderer)</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307F92" w:rsidRPr="00307F92" w:rsidRDefault="00E17A58" w:rsidP="00E17A58">
      <w:pPr>
        <w:jc w:val="both"/>
        <w:rPr>
          <w:rFonts w:ascii="Arial" w:hAnsi="Arial" w:cs="Arial"/>
          <w:b/>
          <w:bCs/>
          <w:sz w:val="20"/>
          <w:szCs w:val="20"/>
        </w:rPr>
      </w:pPr>
      <w:r w:rsidRPr="00766B27">
        <w:rPr>
          <w:rFonts w:ascii="Arial" w:hAnsi="Arial" w:cs="Arial"/>
          <w:b/>
          <w:bCs/>
          <w:sz w:val="20"/>
          <w:szCs w:val="20"/>
        </w:rPr>
        <w:t xml:space="preserve">Tender </w:t>
      </w:r>
      <w:r w:rsidR="00807CBB">
        <w:rPr>
          <w:rFonts w:ascii="Arial" w:hAnsi="Arial" w:cs="Arial"/>
          <w:b/>
          <w:bCs/>
          <w:sz w:val="20"/>
          <w:szCs w:val="20"/>
        </w:rPr>
        <w:t>No. TMH/MUL</w:t>
      </w:r>
      <w:r w:rsidR="00B462C0">
        <w:rPr>
          <w:rFonts w:ascii="Arial" w:hAnsi="Arial" w:cs="Arial"/>
          <w:b/>
          <w:bCs/>
          <w:sz w:val="20"/>
          <w:szCs w:val="20"/>
        </w:rPr>
        <w:t>/2021-22/CAP/PT/00</w:t>
      </w:r>
      <w:r w:rsidR="00807CBB">
        <w:rPr>
          <w:rFonts w:ascii="Arial" w:hAnsi="Arial" w:cs="Arial"/>
          <w:b/>
          <w:bCs/>
          <w:sz w:val="20"/>
          <w:szCs w:val="20"/>
        </w:rPr>
        <w:t>58</w:t>
      </w:r>
      <w:r w:rsidR="005A4DBD">
        <w:rPr>
          <w:rFonts w:ascii="Arial" w:hAnsi="Arial" w:cs="Arial"/>
          <w:b/>
          <w:bCs/>
          <w:sz w:val="20"/>
          <w:szCs w:val="20"/>
        </w:rPr>
        <w:t xml:space="preserve"> </w:t>
      </w:r>
      <w:r w:rsidRPr="00766B27">
        <w:rPr>
          <w:rFonts w:ascii="Arial" w:hAnsi="Arial" w:cs="Arial"/>
          <w:b/>
          <w:bCs/>
          <w:sz w:val="20"/>
          <w:szCs w:val="20"/>
        </w:rPr>
        <w:t xml:space="preserve">for the supply of </w:t>
      </w:r>
      <w:r w:rsidR="00807CBB">
        <w:rPr>
          <w:rFonts w:ascii="Arial" w:hAnsi="Arial" w:cs="Arial"/>
          <w:b/>
          <w:bCs/>
          <w:sz w:val="20"/>
          <w:szCs w:val="20"/>
        </w:rPr>
        <w:t>LED OT Light for Minor OT, Quantity 04</w:t>
      </w:r>
      <w:r w:rsidR="00307F92">
        <w:rPr>
          <w:rFonts w:ascii="Arial" w:hAnsi="Arial" w:cs="Arial"/>
          <w:b/>
          <w:bCs/>
          <w:sz w:val="20"/>
          <w:szCs w:val="20"/>
        </w:rPr>
        <w:t xml:space="preserve"> no</w:t>
      </w:r>
      <w:r w:rsidR="00807CBB">
        <w:rPr>
          <w:rFonts w:ascii="Arial" w:hAnsi="Arial" w:cs="Arial"/>
          <w:b/>
          <w:bCs/>
          <w:sz w:val="20"/>
          <w:szCs w:val="20"/>
        </w:rPr>
        <w:t>s</w:t>
      </w:r>
      <w:r w:rsidR="00307F92">
        <w:rPr>
          <w:rFonts w:ascii="Arial" w:hAnsi="Arial" w:cs="Arial"/>
          <w:b/>
          <w:bCs/>
          <w:sz w:val="20"/>
          <w:szCs w:val="20"/>
        </w:rPr>
        <w:t>.</w:t>
      </w:r>
    </w:p>
    <w:p w:rsidR="00E17A58" w:rsidRPr="00766B27" w:rsidRDefault="00E17A58" w:rsidP="00E17A58">
      <w:pPr>
        <w:tabs>
          <w:tab w:val="left" w:pos="5591"/>
        </w:tabs>
        <w:jc w:val="both"/>
        <w:rPr>
          <w:rFonts w:ascii="Arial" w:hAnsi="Arial" w:cs="Arial"/>
          <w:sz w:val="20"/>
          <w:szCs w:val="20"/>
        </w:rPr>
      </w:pP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Default="00940178" w:rsidP="00570D9F">
      <w:pPr>
        <w:rPr>
          <w:rFonts w:ascii="Arial" w:hAnsi="Arial" w:cs="Arial"/>
          <w:b/>
          <w:bCs/>
          <w:sz w:val="20"/>
          <w:szCs w:val="20"/>
        </w:rPr>
      </w:pPr>
    </w:p>
    <w:p w:rsidR="00570D9F" w:rsidRPr="00766B27" w:rsidRDefault="00570D9F" w:rsidP="00570D9F">
      <w:pPr>
        <w:rPr>
          <w:rFonts w:ascii="Arial" w:eastAsia="Times New Roman" w:hAnsi="Arial" w:cs="Arial"/>
          <w:b/>
          <w:bCs/>
          <w:sz w:val="20"/>
          <w:szCs w:val="20"/>
        </w:rPr>
      </w:pPr>
    </w:p>
    <w:p w:rsidR="00940178" w:rsidRPr="00766B27" w:rsidRDefault="00940178"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3842FC">
        <w:rPr>
          <w:rFonts w:ascii="Arial" w:hAnsi="Arial" w:cs="Arial"/>
          <w:b/>
          <w:bCs/>
          <w:sz w:val="20"/>
          <w:szCs w:val="20"/>
        </w:rPr>
        <w:t>LED OT Light for Minor OT, Quantity 04</w:t>
      </w:r>
      <w:r w:rsidR="00275D7E">
        <w:rPr>
          <w:rFonts w:ascii="Arial" w:hAnsi="Arial" w:cs="Arial"/>
          <w:b/>
          <w:bCs/>
          <w:sz w:val="20"/>
          <w:szCs w:val="20"/>
        </w:rPr>
        <w:t xml:space="preserve"> no</w:t>
      </w:r>
      <w:r w:rsidR="003842FC">
        <w:rPr>
          <w:rFonts w:ascii="Arial" w:hAnsi="Arial" w:cs="Arial"/>
          <w:b/>
          <w:bCs/>
          <w:sz w:val="20"/>
          <w:szCs w:val="20"/>
        </w:rPr>
        <w:t>s</w:t>
      </w:r>
      <w:r w:rsidR="00275D7E">
        <w:rPr>
          <w:rFonts w:ascii="Arial" w:hAnsi="Arial" w:cs="Arial"/>
          <w:b/>
          <w:bCs/>
          <w:sz w:val="20"/>
          <w:szCs w:val="20"/>
        </w:rPr>
        <w:t>.</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730"/>
        <w:gridCol w:w="2126"/>
      </w:tblGrid>
      <w:tr w:rsidR="006D5B82" w:rsidRPr="00766B27" w:rsidTr="004F76C3">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2126"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4F76C3">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3842FC" w:rsidP="00F0041F">
            <w:pPr>
              <w:rPr>
                <w:rFonts w:ascii="Arial" w:hAnsi="Arial" w:cs="Arial"/>
                <w:b/>
                <w:sz w:val="20"/>
                <w:szCs w:val="20"/>
              </w:rPr>
            </w:pPr>
            <w:r>
              <w:rPr>
                <w:rFonts w:ascii="Arial" w:hAnsi="Arial" w:cs="Arial"/>
                <w:b/>
                <w:sz w:val="20"/>
                <w:szCs w:val="20"/>
              </w:rPr>
              <w:t>04</w:t>
            </w:r>
            <w:r w:rsidR="00976E0A">
              <w:rPr>
                <w:rFonts w:ascii="Arial" w:hAnsi="Arial" w:cs="Arial"/>
                <w:b/>
                <w:sz w:val="20"/>
                <w:szCs w:val="20"/>
              </w:rPr>
              <w:t xml:space="preserve"> no</w:t>
            </w:r>
            <w:r>
              <w:rPr>
                <w:rFonts w:ascii="Arial" w:hAnsi="Arial" w:cs="Arial"/>
                <w:b/>
                <w:sz w:val="20"/>
                <w:szCs w:val="20"/>
              </w:rPr>
              <w:t>s</w:t>
            </w:r>
            <w:r w:rsidR="00976E0A">
              <w:rPr>
                <w:rFonts w:ascii="Arial" w:hAnsi="Arial" w:cs="Arial"/>
                <w:b/>
                <w:sz w:val="20"/>
                <w:szCs w:val="20"/>
              </w:rPr>
              <w:t>.</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3842FC">
            <w:pPr>
              <w:rPr>
                <w:rFonts w:ascii="Arial" w:hAnsi="Arial" w:cs="Arial"/>
                <w:b/>
                <w:sz w:val="20"/>
                <w:szCs w:val="20"/>
              </w:rPr>
            </w:pPr>
            <w:r w:rsidRPr="00766B27">
              <w:rPr>
                <w:rFonts w:ascii="Arial" w:hAnsi="Arial" w:cs="Arial"/>
                <w:b/>
                <w:sz w:val="20"/>
                <w:szCs w:val="20"/>
              </w:rPr>
              <w:t xml:space="preserve">Total FOB cost, </w:t>
            </w:r>
            <w:r w:rsidR="003842FC">
              <w:rPr>
                <w:rFonts w:ascii="Arial" w:hAnsi="Arial" w:cs="Arial"/>
                <w:b/>
                <w:sz w:val="20"/>
                <w:szCs w:val="20"/>
              </w:rPr>
              <w:t>HBCHRC Mullanpur</w:t>
            </w:r>
            <w:r w:rsidR="00976E0A">
              <w:rPr>
                <w:rFonts w:ascii="Arial" w:hAnsi="Arial" w:cs="Arial"/>
                <w:b/>
                <w:noProof/>
                <w:sz w:val="20"/>
                <w:szCs w:val="20"/>
              </w:rPr>
              <w:t>.</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976E0A" w:rsidP="003842FC">
            <w:pPr>
              <w:rPr>
                <w:rFonts w:ascii="Arial" w:hAnsi="Arial" w:cs="Arial"/>
                <w:b/>
                <w:sz w:val="20"/>
                <w:szCs w:val="20"/>
              </w:rPr>
            </w:pPr>
            <w:r>
              <w:rPr>
                <w:rFonts w:ascii="Arial" w:hAnsi="Arial" w:cs="Arial"/>
                <w:b/>
                <w:sz w:val="20"/>
                <w:szCs w:val="20"/>
              </w:rPr>
              <w:t xml:space="preserve">Total CIF cost,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076" w:type="dxa"/>
            <w:tcMar>
              <w:top w:w="0" w:type="dxa"/>
              <w:left w:w="108" w:type="dxa"/>
              <w:bottom w:w="0" w:type="dxa"/>
              <w:right w:w="108" w:type="dxa"/>
            </w:tcMar>
            <w:hideMark/>
          </w:tcPr>
          <w:p w:rsidR="006D5B82" w:rsidRPr="00766B27" w:rsidRDefault="003842FC" w:rsidP="003842FC">
            <w:pPr>
              <w:rPr>
                <w:rFonts w:ascii="Arial" w:hAnsi="Arial" w:cs="Arial"/>
                <w:sz w:val="20"/>
                <w:szCs w:val="20"/>
              </w:rPr>
            </w:pPr>
            <w:r>
              <w:rPr>
                <w:rFonts w:ascii="Arial" w:hAnsi="Arial" w:cs="Arial"/>
                <w:sz w:val="20"/>
                <w:szCs w:val="20"/>
              </w:rPr>
              <w:t>Annual</w:t>
            </w:r>
            <w:r w:rsidR="00547AF4">
              <w:rPr>
                <w:rFonts w:ascii="Arial" w:hAnsi="Arial" w:cs="Arial"/>
                <w:sz w:val="20"/>
                <w:szCs w:val="20"/>
              </w:rPr>
              <w:t xml:space="preserve"> Maintenance Charges (</w:t>
            </w:r>
            <w:r>
              <w:rPr>
                <w:rFonts w:ascii="Arial" w:hAnsi="Arial" w:cs="Arial"/>
                <w:sz w:val="20"/>
                <w:szCs w:val="20"/>
              </w:rPr>
              <w:t>A</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2</w:t>
            </w:r>
            <w:r w:rsidR="000F3A23" w:rsidRPr="00766B27">
              <w:rPr>
                <w:rFonts w:ascii="Arial" w:hAnsi="Arial" w:cs="Arial"/>
                <w:sz w:val="20"/>
                <w:szCs w:val="20"/>
              </w:rPr>
              <w:t xml:space="preserve">% per annum for 8 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16.</w:t>
            </w:r>
          </w:p>
        </w:tc>
        <w:tc>
          <w:tcPr>
            <w:tcW w:w="4076"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3842FC">
              <w:rPr>
                <w:rFonts w:ascii="Arial" w:hAnsi="Arial" w:cs="Arial"/>
                <w:sz w:val="20"/>
                <w:szCs w:val="20"/>
              </w:rPr>
              <w:t>A</w:t>
            </w:r>
            <w:r w:rsidRPr="00766B27">
              <w:rPr>
                <w:rFonts w:ascii="Arial" w:hAnsi="Arial" w:cs="Arial"/>
                <w:sz w:val="20"/>
                <w:szCs w:val="20"/>
              </w:rPr>
              <w:t>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230BE7" w:rsidRPr="00766B27">
              <w:rPr>
                <w:rFonts w:ascii="Arial" w:hAnsi="Arial" w:cs="Arial"/>
                <w:b/>
                <w:sz w:val="20"/>
                <w:szCs w:val="20"/>
              </w:rPr>
              <w:t>in case of foreign currency</w:t>
            </w:r>
            <w:proofErr w:type="gramStart"/>
            <w:r w:rsidR="00EB0D0C">
              <w:rPr>
                <w:rFonts w:ascii="Arial" w:hAnsi="Arial" w:cs="Arial"/>
                <w:b/>
                <w:sz w:val="20"/>
                <w:szCs w:val="20"/>
              </w:rPr>
              <w:t>)</w:t>
            </w:r>
            <w:r w:rsidRPr="00766B27">
              <w:rPr>
                <w:rFonts w:ascii="Arial" w:hAnsi="Arial" w:cs="Arial"/>
                <w:sz w:val="20"/>
                <w:szCs w:val="20"/>
              </w:rPr>
              <w:t>i.e</w:t>
            </w:r>
            <w:proofErr w:type="gramEnd"/>
            <w:r w:rsidRPr="00766B27">
              <w:rPr>
                <w:rFonts w:ascii="Arial" w:hAnsi="Arial" w:cs="Arial"/>
                <w:sz w:val="20"/>
                <w:szCs w:val="20"/>
              </w:rPr>
              <w:t>. Equipment cost with 2 years warranty and</w:t>
            </w:r>
            <w:r w:rsidR="005A4DBD">
              <w:rPr>
                <w:rFonts w:ascii="Arial" w:hAnsi="Arial" w:cs="Arial"/>
                <w:sz w:val="20"/>
                <w:szCs w:val="20"/>
              </w:rPr>
              <w:t xml:space="preserve"> </w:t>
            </w:r>
            <w:r w:rsidR="003842FC">
              <w:rPr>
                <w:rFonts w:ascii="Arial" w:eastAsia="Times New Roman" w:hAnsi="Arial" w:cs="Arial"/>
                <w:b/>
                <w:sz w:val="20"/>
                <w:szCs w:val="20"/>
              </w:rPr>
              <w:t>A</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3842FC">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5A4DBD">
              <w:rPr>
                <w:rFonts w:ascii="Arial" w:hAnsi="Arial" w:cs="Arial"/>
                <w:sz w:val="20"/>
                <w:szCs w:val="20"/>
              </w:rPr>
              <w:t xml:space="preserve"> </w:t>
            </w:r>
            <w:r w:rsidR="003842FC">
              <w:rPr>
                <w:rFonts w:ascii="Arial" w:eastAsia="Times New Roman" w:hAnsi="Arial" w:cs="Arial"/>
                <w:b/>
                <w:sz w:val="20"/>
                <w:szCs w:val="20"/>
              </w:rPr>
              <w:t>A</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3842FC">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34190"/>
    <w:rsid w:val="000515A0"/>
    <w:rsid w:val="00063DC7"/>
    <w:rsid w:val="00073C4C"/>
    <w:rsid w:val="00073C98"/>
    <w:rsid w:val="00080004"/>
    <w:rsid w:val="00083135"/>
    <w:rsid w:val="0008619B"/>
    <w:rsid w:val="00097D50"/>
    <w:rsid w:val="000C5622"/>
    <w:rsid w:val="000E43D1"/>
    <w:rsid w:val="000F3A23"/>
    <w:rsid w:val="00130F0E"/>
    <w:rsid w:val="001371F4"/>
    <w:rsid w:val="0018125C"/>
    <w:rsid w:val="00190B84"/>
    <w:rsid w:val="00194C7D"/>
    <w:rsid w:val="001A6C3D"/>
    <w:rsid w:val="001D575B"/>
    <w:rsid w:val="001F0064"/>
    <w:rsid w:val="00230BE7"/>
    <w:rsid w:val="00245568"/>
    <w:rsid w:val="00272054"/>
    <w:rsid w:val="00272445"/>
    <w:rsid w:val="00275D7E"/>
    <w:rsid w:val="00280056"/>
    <w:rsid w:val="002A4556"/>
    <w:rsid w:val="002C535E"/>
    <w:rsid w:val="002E170B"/>
    <w:rsid w:val="002E2C3C"/>
    <w:rsid w:val="002F4F0A"/>
    <w:rsid w:val="00307F92"/>
    <w:rsid w:val="00317272"/>
    <w:rsid w:val="00321F32"/>
    <w:rsid w:val="00356FCE"/>
    <w:rsid w:val="0036039E"/>
    <w:rsid w:val="00382887"/>
    <w:rsid w:val="003842FC"/>
    <w:rsid w:val="003B4665"/>
    <w:rsid w:val="003B7C4A"/>
    <w:rsid w:val="003C3417"/>
    <w:rsid w:val="003C5A54"/>
    <w:rsid w:val="003E707D"/>
    <w:rsid w:val="003E7E8A"/>
    <w:rsid w:val="00457F1E"/>
    <w:rsid w:val="00466CCB"/>
    <w:rsid w:val="00477AFE"/>
    <w:rsid w:val="004B512D"/>
    <w:rsid w:val="004B5FEA"/>
    <w:rsid w:val="004D2A16"/>
    <w:rsid w:val="004D7271"/>
    <w:rsid w:val="004E4646"/>
    <w:rsid w:val="004F39FC"/>
    <w:rsid w:val="004F76C3"/>
    <w:rsid w:val="005015CF"/>
    <w:rsid w:val="0050216B"/>
    <w:rsid w:val="00534FC9"/>
    <w:rsid w:val="00547AF4"/>
    <w:rsid w:val="00547DF5"/>
    <w:rsid w:val="0055037E"/>
    <w:rsid w:val="005617B7"/>
    <w:rsid w:val="00570D9F"/>
    <w:rsid w:val="00576FA4"/>
    <w:rsid w:val="005822D7"/>
    <w:rsid w:val="005A4DBD"/>
    <w:rsid w:val="005A5FD5"/>
    <w:rsid w:val="005A7DA0"/>
    <w:rsid w:val="005B019C"/>
    <w:rsid w:val="005D4457"/>
    <w:rsid w:val="005E29E0"/>
    <w:rsid w:val="005E3088"/>
    <w:rsid w:val="005E6D30"/>
    <w:rsid w:val="00602E89"/>
    <w:rsid w:val="0061295A"/>
    <w:rsid w:val="00621008"/>
    <w:rsid w:val="00651504"/>
    <w:rsid w:val="00667FA9"/>
    <w:rsid w:val="00674304"/>
    <w:rsid w:val="00682A0F"/>
    <w:rsid w:val="006A28F5"/>
    <w:rsid w:val="006A740E"/>
    <w:rsid w:val="006B00F4"/>
    <w:rsid w:val="006D051B"/>
    <w:rsid w:val="006D5B82"/>
    <w:rsid w:val="006F70D9"/>
    <w:rsid w:val="00704973"/>
    <w:rsid w:val="00746A8F"/>
    <w:rsid w:val="00766B27"/>
    <w:rsid w:val="00770032"/>
    <w:rsid w:val="0077089F"/>
    <w:rsid w:val="00794A3B"/>
    <w:rsid w:val="0079599B"/>
    <w:rsid w:val="007B591D"/>
    <w:rsid w:val="007D12B5"/>
    <w:rsid w:val="007D32DB"/>
    <w:rsid w:val="007D4D80"/>
    <w:rsid w:val="007F360C"/>
    <w:rsid w:val="007F4E9D"/>
    <w:rsid w:val="007F7CF2"/>
    <w:rsid w:val="00807CBB"/>
    <w:rsid w:val="00814E31"/>
    <w:rsid w:val="00877130"/>
    <w:rsid w:val="00884523"/>
    <w:rsid w:val="008A08A2"/>
    <w:rsid w:val="008A1054"/>
    <w:rsid w:val="008A149B"/>
    <w:rsid w:val="008D4099"/>
    <w:rsid w:val="0090322E"/>
    <w:rsid w:val="00940178"/>
    <w:rsid w:val="009412D5"/>
    <w:rsid w:val="00962582"/>
    <w:rsid w:val="00976E0A"/>
    <w:rsid w:val="009827F2"/>
    <w:rsid w:val="009834D6"/>
    <w:rsid w:val="009A70E2"/>
    <w:rsid w:val="009E7B5C"/>
    <w:rsid w:val="00A03D20"/>
    <w:rsid w:val="00A22B4A"/>
    <w:rsid w:val="00A47200"/>
    <w:rsid w:val="00A67A3A"/>
    <w:rsid w:val="00A75103"/>
    <w:rsid w:val="00A911A1"/>
    <w:rsid w:val="00AB21A4"/>
    <w:rsid w:val="00AC31A0"/>
    <w:rsid w:val="00AC46A4"/>
    <w:rsid w:val="00AC5118"/>
    <w:rsid w:val="00AC52BA"/>
    <w:rsid w:val="00B04222"/>
    <w:rsid w:val="00B04F62"/>
    <w:rsid w:val="00B3401D"/>
    <w:rsid w:val="00B46225"/>
    <w:rsid w:val="00B462C0"/>
    <w:rsid w:val="00B83CA3"/>
    <w:rsid w:val="00B93029"/>
    <w:rsid w:val="00BC2846"/>
    <w:rsid w:val="00C10C78"/>
    <w:rsid w:val="00C142D6"/>
    <w:rsid w:val="00C2401A"/>
    <w:rsid w:val="00C248C4"/>
    <w:rsid w:val="00C335E7"/>
    <w:rsid w:val="00C376D7"/>
    <w:rsid w:val="00C41E0B"/>
    <w:rsid w:val="00C75861"/>
    <w:rsid w:val="00CA77BD"/>
    <w:rsid w:val="00CC64EA"/>
    <w:rsid w:val="00CD1D82"/>
    <w:rsid w:val="00CD4678"/>
    <w:rsid w:val="00D122E8"/>
    <w:rsid w:val="00D14EDB"/>
    <w:rsid w:val="00D34677"/>
    <w:rsid w:val="00D35E3E"/>
    <w:rsid w:val="00D37EE1"/>
    <w:rsid w:val="00D5151D"/>
    <w:rsid w:val="00D92922"/>
    <w:rsid w:val="00D92C3F"/>
    <w:rsid w:val="00D92E73"/>
    <w:rsid w:val="00D9332A"/>
    <w:rsid w:val="00DA2640"/>
    <w:rsid w:val="00DC0FB3"/>
    <w:rsid w:val="00DE1525"/>
    <w:rsid w:val="00DF262A"/>
    <w:rsid w:val="00E17A58"/>
    <w:rsid w:val="00E23A59"/>
    <w:rsid w:val="00E2500E"/>
    <w:rsid w:val="00E31596"/>
    <w:rsid w:val="00E32F2B"/>
    <w:rsid w:val="00E3613D"/>
    <w:rsid w:val="00E45B25"/>
    <w:rsid w:val="00E63E7B"/>
    <w:rsid w:val="00E664C7"/>
    <w:rsid w:val="00E92C44"/>
    <w:rsid w:val="00EB0D0C"/>
    <w:rsid w:val="00EF45E4"/>
    <w:rsid w:val="00F0009B"/>
    <w:rsid w:val="00F0041F"/>
    <w:rsid w:val="00F538FB"/>
    <w:rsid w:val="00F53C22"/>
    <w:rsid w:val="00F67548"/>
    <w:rsid w:val="00F76D04"/>
    <w:rsid w:val="00F8011B"/>
    <w:rsid w:val="00F90303"/>
    <w:rsid w:val="00F9263D"/>
    <w:rsid w:val="00FA2221"/>
    <w:rsid w:val="00FA6BF8"/>
    <w:rsid w:val="00FB3FED"/>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F062-46AC-43A1-BB7E-C8F5CED5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6674</Words>
  <Characters>38044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20</cp:revision>
  <cp:lastPrinted>2021-08-24T04:29:00Z</cp:lastPrinted>
  <dcterms:created xsi:type="dcterms:W3CDTF">2021-08-13T09:40:00Z</dcterms:created>
  <dcterms:modified xsi:type="dcterms:W3CDTF">2021-08-24T04:30:00Z</dcterms:modified>
</cp:coreProperties>
</file>